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F0C" w:rsidRDefault="00B63F0C" w:rsidP="00F835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916F0" w:rsidRDefault="00E94FFF" w:rsidP="00F835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563">
        <w:rPr>
          <w:rFonts w:ascii="Times New Roman" w:hAnsi="Times New Roman" w:cs="Times New Roman"/>
          <w:b/>
          <w:sz w:val="24"/>
          <w:szCs w:val="24"/>
        </w:rPr>
        <w:t>Le prospettive del regionalismo e il destino dell</w:t>
      </w:r>
      <w:r w:rsidR="00D51D7C">
        <w:rPr>
          <w:rFonts w:ascii="Times New Roman" w:hAnsi="Times New Roman" w:cs="Times New Roman"/>
          <w:b/>
          <w:sz w:val="24"/>
          <w:szCs w:val="24"/>
        </w:rPr>
        <w:t>’</w:t>
      </w:r>
      <w:r w:rsidRPr="00EE5563">
        <w:rPr>
          <w:rFonts w:ascii="Times New Roman" w:hAnsi="Times New Roman" w:cs="Times New Roman"/>
          <w:b/>
          <w:sz w:val="24"/>
          <w:szCs w:val="24"/>
        </w:rPr>
        <w:t>autonomia speciale siciliana</w:t>
      </w:r>
    </w:p>
    <w:p w:rsidR="00EE5563" w:rsidRDefault="00EE5563" w:rsidP="00F835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C0D" w:rsidRDefault="003D1C0D" w:rsidP="00F835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563" w:rsidRDefault="00EE5563" w:rsidP="00F83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regionalismo italiano è da sempre alla ricerca di una propria identità</w:t>
      </w:r>
      <w:r w:rsidR="00522269">
        <w:rPr>
          <w:rFonts w:ascii="Times New Roman" w:hAnsi="Times New Roman" w:cs="Times New Roman"/>
          <w:sz w:val="24"/>
          <w:szCs w:val="24"/>
        </w:rPr>
        <w:t xml:space="preserve">. </w:t>
      </w:r>
      <w:r w:rsidR="006A59DF">
        <w:rPr>
          <w:rFonts w:ascii="Times New Roman" w:hAnsi="Times New Roman" w:cs="Times New Roman"/>
          <w:sz w:val="24"/>
          <w:szCs w:val="24"/>
        </w:rPr>
        <w:t>Nel corso dell’esperienza repubblicana, l</w:t>
      </w:r>
      <w:r w:rsidR="00522269">
        <w:rPr>
          <w:rFonts w:ascii="Times New Roman" w:hAnsi="Times New Roman" w:cs="Times New Roman"/>
          <w:sz w:val="24"/>
          <w:szCs w:val="24"/>
        </w:rPr>
        <w:t>e sue dinamiche</w:t>
      </w:r>
      <w:r w:rsidR="006A59DF">
        <w:rPr>
          <w:rFonts w:ascii="Times New Roman" w:hAnsi="Times New Roman" w:cs="Times New Roman"/>
          <w:sz w:val="24"/>
          <w:szCs w:val="24"/>
        </w:rPr>
        <w:t xml:space="preserve"> di sviluppo</w:t>
      </w:r>
      <w:r w:rsidR="00522269">
        <w:rPr>
          <w:rFonts w:ascii="Times New Roman" w:hAnsi="Times New Roman" w:cs="Times New Roman"/>
          <w:sz w:val="24"/>
          <w:szCs w:val="24"/>
        </w:rPr>
        <w:t xml:space="preserve"> sono state </w:t>
      </w:r>
      <w:r w:rsidR="00C53137">
        <w:rPr>
          <w:rFonts w:ascii="Times New Roman" w:hAnsi="Times New Roman" w:cs="Times New Roman"/>
          <w:sz w:val="24"/>
          <w:szCs w:val="24"/>
        </w:rPr>
        <w:t>orientate,</w:t>
      </w:r>
      <w:r w:rsidR="00D51D7C">
        <w:rPr>
          <w:rFonts w:ascii="Times New Roman" w:hAnsi="Times New Roman" w:cs="Times New Roman"/>
          <w:sz w:val="24"/>
          <w:szCs w:val="24"/>
        </w:rPr>
        <w:t xml:space="preserve"> infatti, da visioni non sempre conciliabili e talora perfino</w:t>
      </w:r>
      <w:r w:rsidR="00601D2F">
        <w:rPr>
          <w:rFonts w:ascii="Times New Roman" w:hAnsi="Times New Roman" w:cs="Times New Roman"/>
          <w:sz w:val="24"/>
          <w:szCs w:val="24"/>
        </w:rPr>
        <w:t xml:space="preserve"> opposte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002" w:rsidRDefault="00EE5563" w:rsidP="00F83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L’ultimo tentativo di riforma costituzionale, respinto dal referendum del 4 dicembre 2016,</w:t>
      </w:r>
      <w:r w:rsidR="00D26642">
        <w:rPr>
          <w:rFonts w:ascii="Times New Roman" w:hAnsi="Times New Roman" w:cs="Times New Roman"/>
          <w:sz w:val="24"/>
          <w:szCs w:val="24"/>
        </w:rPr>
        <w:t xml:space="preserve"> da un lato,</w:t>
      </w:r>
      <w:r>
        <w:rPr>
          <w:rFonts w:ascii="Times New Roman" w:hAnsi="Times New Roman" w:cs="Times New Roman"/>
          <w:sz w:val="24"/>
          <w:szCs w:val="24"/>
        </w:rPr>
        <w:t xml:space="preserve"> intendeva modificare il bicameralismo perfetto, </w:t>
      </w:r>
      <w:r w:rsidR="00D26642">
        <w:rPr>
          <w:rFonts w:ascii="Times New Roman" w:hAnsi="Times New Roman" w:cs="Times New Roman"/>
          <w:sz w:val="24"/>
          <w:szCs w:val="24"/>
        </w:rPr>
        <w:t>trasformando il Senato in una Camera rappresentativa delle Istituzioni territoriali</w:t>
      </w:r>
      <w:r w:rsidR="00950684">
        <w:rPr>
          <w:rFonts w:ascii="Times New Roman" w:hAnsi="Times New Roman" w:cs="Times New Roman"/>
          <w:sz w:val="24"/>
          <w:szCs w:val="24"/>
        </w:rPr>
        <w:t xml:space="preserve"> (Regioni e Comuni)</w:t>
      </w:r>
      <w:r w:rsidR="00D26642">
        <w:rPr>
          <w:rFonts w:ascii="Times New Roman" w:hAnsi="Times New Roman" w:cs="Times New Roman"/>
          <w:sz w:val="24"/>
          <w:szCs w:val="24"/>
        </w:rPr>
        <w:t>; dall’altro</w:t>
      </w:r>
      <w:r w:rsidR="00746B73">
        <w:rPr>
          <w:rFonts w:ascii="Times New Roman" w:hAnsi="Times New Roman" w:cs="Times New Roman"/>
          <w:sz w:val="24"/>
          <w:szCs w:val="24"/>
        </w:rPr>
        <w:t xml:space="preserve"> lato</w:t>
      </w:r>
      <w:r w:rsidR="00D26642">
        <w:rPr>
          <w:rFonts w:ascii="Times New Roman" w:hAnsi="Times New Roman" w:cs="Times New Roman"/>
          <w:sz w:val="24"/>
          <w:szCs w:val="24"/>
        </w:rPr>
        <w:t>, proponeva un</w:t>
      </w:r>
      <w:r w:rsidR="00E23696">
        <w:rPr>
          <w:rFonts w:ascii="Times New Roman" w:hAnsi="Times New Roman" w:cs="Times New Roman"/>
          <w:sz w:val="24"/>
          <w:szCs w:val="24"/>
        </w:rPr>
        <w:t xml:space="preserve"> forte</w:t>
      </w:r>
      <w:r w:rsidR="00D26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642">
        <w:rPr>
          <w:rFonts w:ascii="Times New Roman" w:hAnsi="Times New Roman" w:cs="Times New Roman"/>
          <w:sz w:val="24"/>
          <w:szCs w:val="24"/>
        </w:rPr>
        <w:t>riaccentramento</w:t>
      </w:r>
      <w:proofErr w:type="spellEnd"/>
      <w:r w:rsidR="00D26642">
        <w:rPr>
          <w:rFonts w:ascii="Times New Roman" w:hAnsi="Times New Roman" w:cs="Times New Roman"/>
          <w:sz w:val="24"/>
          <w:szCs w:val="24"/>
        </w:rPr>
        <w:t xml:space="preserve"> delle competenze legislative precedentemente </w:t>
      </w:r>
      <w:r w:rsidR="00626002">
        <w:rPr>
          <w:rFonts w:ascii="Times New Roman" w:hAnsi="Times New Roman" w:cs="Times New Roman"/>
          <w:sz w:val="24"/>
          <w:szCs w:val="24"/>
        </w:rPr>
        <w:t xml:space="preserve">dislocate a livello regionale dalla riforma del Titolo V </w:t>
      </w:r>
      <w:r w:rsidR="007F6852">
        <w:rPr>
          <w:rFonts w:ascii="Times New Roman" w:hAnsi="Times New Roman" w:cs="Times New Roman"/>
          <w:sz w:val="24"/>
          <w:szCs w:val="24"/>
        </w:rPr>
        <w:t xml:space="preserve">della Parte II della Costituzione, intervenuta </w:t>
      </w:r>
      <w:r w:rsidR="00626002">
        <w:rPr>
          <w:rFonts w:ascii="Times New Roman" w:hAnsi="Times New Roman" w:cs="Times New Roman"/>
          <w:sz w:val="24"/>
          <w:szCs w:val="24"/>
        </w:rPr>
        <w:t>nel 2001.</w:t>
      </w:r>
    </w:p>
    <w:p w:rsidR="00950684" w:rsidRDefault="00E23696" w:rsidP="00F83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ultime prospettive del regionalismo vanno, invece, ancora una volta in una direzione </w:t>
      </w:r>
      <w:r w:rsidR="00522269">
        <w:rPr>
          <w:rFonts w:ascii="Times New Roman" w:hAnsi="Times New Roman" w:cs="Times New Roman"/>
          <w:sz w:val="24"/>
          <w:szCs w:val="24"/>
        </w:rPr>
        <w:t>diversa</w:t>
      </w:r>
      <w:r>
        <w:rPr>
          <w:rFonts w:ascii="Times New Roman" w:hAnsi="Times New Roman" w:cs="Times New Roman"/>
          <w:sz w:val="24"/>
          <w:szCs w:val="24"/>
        </w:rPr>
        <w:t>: quella di dare attuazione</w:t>
      </w:r>
      <w:r w:rsidR="004312A4">
        <w:rPr>
          <w:rFonts w:ascii="Times New Roman" w:hAnsi="Times New Roman" w:cs="Times New Roman"/>
          <w:sz w:val="24"/>
          <w:szCs w:val="24"/>
        </w:rPr>
        <w:t xml:space="preserve"> al</w:t>
      </w:r>
      <w:r w:rsidR="006859BD">
        <w:rPr>
          <w:rFonts w:ascii="Times New Roman" w:hAnsi="Times New Roman" w:cs="Times New Roman"/>
          <w:sz w:val="24"/>
          <w:szCs w:val="24"/>
        </w:rPr>
        <w:t xml:space="preserve"> cosiddetto</w:t>
      </w:r>
      <w:r w:rsidR="004312A4">
        <w:rPr>
          <w:rFonts w:ascii="Times New Roman" w:hAnsi="Times New Roman" w:cs="Times New Roman"/>
          <w:sz w:val="24"/>
          <w:szCs w:val="24"/>
        </w:rPr>
        <w:t xml:space="preserve"> “regionalismo differenziato”, previsto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2A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all’articolo 116, </w:t>
      </w:r>
      <w:r w:rsidR="00512DCD">
        <w:rPr>
          <w:rFonts w:ascii="Times New Roman" w:hAnsi="Times New Roman" w:cs="Times New Roman"/>
          <w:sz w:val="24"/>
          <w:szCs w:val="24"/>
        </w:rPr>
        <w:t>ultimo comma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12A4">
        <w:rPr>
          <w:rFonts w:ascii="Times New Roman" w:hAnsi="Times New Roman" w:cs="Times New Roman"/>
          <w:sz w:val="24"/>
          <w:szCs w:val="24"/>
        </w:rPr>
        <w:t xml:space="preserve">della </w:t>
      </w:r>
      <w:r>
        <w:rPr>
          <w:rFonts w:ascii="Times New Roman" w:hAnsi="Times New Roman" w:cs="Times New Roman"/>
          <w:sz w:val="24"/>
          <w:szCs w:val="24"/>
        </w:rPr>
        <w:t>Cost</w:t>
      </w:r>
      <w:r w:rsidR="004312A4">
        <w:rPr>
          <w:rFonts w:ascii="Times New Roman" w:hAnsi="Times New Roman" w:cs="Times New Roman"/>
          <w:sz w:val="24"/>
          <w:szCs w:val="24"/>
        </w:rPr>
        <w:t>ituzione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12A4">
        <w:rPr>
          <w:rFonts w:ascii="Times New Roman" w:hAnsi="Times New Roman" w:cs="Times New Roman"/>
          <w:sz w:val="24"/>
          <w:szCs w:val="24"/>
        </w:rPr>
        <w:t>così come revisionato</w:t>
      </w:r>
      <w:r>
        <w:rPr>
          <w:rFonts w:ascii="Times New Roman" w:hAnsi="Times New Roman" w:cs="Times New Roman"/>
          <w:sz w:val="24"/>
          <w:szCs w:val="24"/>
        </w:rPr>
        <w:t xml:space="preserve"> nel 2001. </w:t>
      </w:r>
      <w:r w:rsidR="00950684">
        <w:rPr>
          <w:rFonts w:ascii="Times New Roman" w:hAnsi="Times New Roman" w:cs="Times New Roman"/>
          <w:sz w:val="24"/>
          <w:szCs w:val="24"/>
        </w:rPr>
        <w:t xml:space="preserve">Tale </w:t>
      </w:r>
      <w:r w:rsidR="005F1702">
        <w:rPr>
          <w:rFonts w:ascii="Times New Roman" w:hAnsi="Times New Roman" w:cs="Times New Roman"/>
          <w:sz w:val="24"/>
          <w:szCs w:val="24"/>
        </w:rPr>
        <w:t>disposizione</w:t>
      </w:r>
      <w:r w:rsidR="00950684">
        <w:rPr>
          <w:rFonts w:ascii="Times New Roman" w:hAnsi="Times New Roman" w:cs="Times New Roman"/>
          <w:sz w:val="24"/>
          <w:szCs w:val="24"/>
        </w:rPr>
        <w:t xml:space="preserve"> consente di attribuire “u</w:t>
      </w:r>
      <w:r w:rsidR="00950684" w:rsidRPr="00950684">
        <w:rPr>
          <w:rFonts w:ascii="Times New Roman" w:hAnsi="Times New Roman" w:cs="Times New Roman"/>
          <w:sz w:val="24"/>
          <w:szCs w:val="24"/>
        </w:rPr>
        <w:t>lteriori forme e condizioni particolari di autonomia</w:t>
      </w:r>
      <w:r w:rsidR="00950684">
        <w:rPr>
          <w:rFonts w:ascii="Times New Roman" w:hAnsi="Times New Roman" w:cs="Times New Roman"/>
          <w:sz w:val="24"/>
          <w:szCs w:val="24"/>
        </w:rPr>
        <w:t xml:space="preserve">” alle Regioni a statuto ordinario in determinate materie (in particolare, in quelle di potestà legislativa concorrente tra Stato e Regioni e in alcune delle materie di potestà legislativa esclusiva dello Stato: organizzazione dei giudici di pace; norme generali sull’istruzione; tutela dell’ambiente, dell’ecosistema e dei beni culturali). </w:t>
      </w:r>
    </w:p>
    <w:p w:rsidR="004312A4" w:rsidRDefault="007C143E" w:rsidP="00F83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 processo ha avuto avvio</w:t>
      </w:r>
      <w:r w:rsidR="00601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seguito all’esito positivo dei referendum consultivi che si sono svolti in Veneto e in Lombardia il 22 ottobre 2017</w:t>
      </w:r>
      <w:r w:rsidR="004312A4">
        <w:rPr>
          <w:rFonts w:ascii="Times New Roman" w:hAnsi="Times New Roman" w:cs="Times New Roman"/>
          <w:sz w:val="24"/>
          <w:szCs w:val="24"/>
        </w:rPr>
        <w:t>.</w:t>
      </w:r>
      <w:r w:rsidR="00483DE3">
        <w:rPr>
          <w:rFonts w:ascii="Times New Roman" w:hAnsi="Times New Roman" w:cs="Times New Roman"/>
          <w:sz w:val="24"/>
          <w:szCs w:val="24"/>
        </w:rPr>
        <w:t xml:space="preserve"> A tali Regioni si è da subito affiancata l’Emilia-Romagn</w:t>
      </w:r>
      <w:r w:rsidR="00601D2F">
        <w:rPr>
          <w:rFonts w:ascii="Times New Roman" w:hAnsi="Times New Roman" w:cs="Times New Roman"/>
          <w:sz w:val="24"/>
          <w:szCs w:val="24"/>
        </w:rPr>
        <w:t>a</w:t>
      </w:r>
      <w:r w:rsidR="00483DE3">
        <w:rPr>
          <w:rFonts w:ascii="Times New Roman" w:hAnsi="Times New Roman" w:cs="Times New Roman"/>
          <w:sz w:val="24"/>
          <w:szCs w:val="24"/>
        </w:rPr>
        <w:t>.</w:t>
      </w:r>
    </w:p>
    <w:p w:rsidR="001971E9" w:rsidRDefault="00483DE3" w:rsidP="00F83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“regionalismo differenziato” sono escluse le Regioni a statuto speciale</w:t>
      </w:r>
      <w:r w:rsidR="001971E9">
        <w:rPr>
          <w:rFonts w:ascii="Times New Roman" w:hAnsi="Times New Roman" w:cs="Times New Roman"/>
          <w:sz w:val="24"/>
          <w:szCs w:val="24"/>
        </w:rPr>
        <w:t>, che, secondo quanto prevede il primo comma dell’articolo 116 della Costituzione, già dispongono di “</w:t>
      </w:r>
      <w:r w:rsidR="001971E9" w:rsidRPr="001971E9">
        <w:rPr>
          <w:rFonts w:ascii="Times New Roman" w:hAnsi="Times New Roman" w:cs="Times New Roman"/>
          <w:sz w:val="24"/>
          <w:szCs w:val="24"/>
        </w:rPr>
        <w:t>forme e condizioni particolari di autonomia, secondo i rispettivi statuti speciali adottati con legge costituzionale</w:t>
      </w:r>
      <w:r w:rsidR="001971E9">
        <w:rPr>
          <w:rFonts w:ascii="Times New Roman" w:hAnsi="Times New Roman" w:cs="Times New Roman"/>
          <w:sz w:val="24"/>
          <w:szCs w:val="24"/>
        </w:rPr>
        <w:t>”.</w:t>
      </w:r>
    </w:p>
    <w:p w:rsidR="000C018C" w:rsidRDefault="00C43F66" w:rsidP="00F83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L’autonomia speciale, com’è noto, ha funzionato bene nelle Regioni a regime differenziato del </w:t>
      </w:r>
      <w:r w:rsidR="00F62A0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ord, non altrettanto in Sicilia e in Sardegna.</w:t>
      </w:r>
    </w:p>
    <w:p w:rsidR="00C43F66" w:rsidRDefault="00B17BA2" w:rsidP="00F83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fronte di una differenziazione spinta delle Regioni ordinarie, qual è il destino dell’autonomia speciale siciliana, che nell’esperienza fin qui maturata</w:t>
      </w:r>
      <w:r w:rsidR="00601D2F">
        <w:rPr>
          <w:rFonts w:ascii="Times New Roman" w:hAnsi="Times New Roman" w:cs="Times New Roman"/>
          <w:sz w:val="24"/>
          <w:szCs w:val="24"/>
        </w:rPr>
        <w:t xml:space="preserve"> non ha </w:t>
      </w:r>
      <w:r w:rsidR="0073002C">
        <w:rPr>
          <w:rFonts w:ascii="Times New Roman" w:hAnsi="Times New Roman" w:cs="Times New Roman"/>
          <w:sz w:val="24"/>
          <w:szCs w:val="24"/>
        </w:rPr>
        <w:t>certamente dato buona prova di sé?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DE3" w:rsidRDefault="00F62A06" w:rsidP="00F83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L’attuazione del regionalismo differenziato può offrire l’opportunità per realizzare un sistema delle autonomie più adeguato alle esigenze dei territori e alle capacità delle comunità locali. Esso, tuttavia, deve realizzarsi nel rispetto dei principi di coesione e di solidarietà sociale. Il rischio maggiore è, infatti, quello di aumentare</w:t>
      </w:r>
      <w:r w:rsidR="00CC33E5">
        <w:rPr>
          <w:rFonts w:ascii="Times New Roman" w:hAnsi="Times New Roman" w:cs="Times New Roman"/>
          <w:sz w:val="24"/>
          <w:szCs w:val="24"/>
        </w:rPr>
        <w:t>, con la differenziazione regionale,</w:t>
      </w:r>
      <w:r>
        <w:rPr>
          <w:rFonts w:ascii="Times New Roman" w:hAnsi="Times New Roman" w:cs="Times New Roman"/>
          <w:sz w:val="24"/>
          <w:szCs w:val="24"/>
        </w:rPr>
        <w:t xml:space="preserve"> il già consistente divario </w:t>
      </w:r>
      <w:r w:rsidR="005E48EC">
        <w:rPr>
          <w:rFonts w:ascii="Times New Roman" w:hAnsi="Times New Roman" w:cs="Times New Roman"/>
          <w:sz w:val="24"/>
          <w:szCs w:val="24"/>
        </w:rPr>
        <w:t>socioeconomico</w:t>
      </w:r>
      <w:r>
        <w:rPr>
          <w:rFonts w:ascii="Times New Roman" w:hAnsi="Times New Roman" w:cs="Times New Roman"/>
          <w:sz w:val="24"/>
          <w:szCs w:val="24"/>
        </w:rPr>
        <w:t xml:space="preserve"> tra le Regioni del Nord e</w:t>
      </w:r>
      <w:r w:rsidR="000C018C">
        <w:rPr>
          <w:rFonts w:ascii="Times New Roman" w:hAnsi="Times New Roman" w:cs="Times New Roman"/>
          <w:sz w:val="24"/>
          <w:szCs w:val="24"/>
        </w:rPr>
        <w:t xml:space="preserve"> quelle</w:t>
      </w:r>
      <w:r>
        <w:rPr>
          <w:rFonts w:ascii="Times New Roman" w:hAnsi="Times New Roman" w:cs="Times New Roman"/>
          <w:sz w:val="24"/>
          <w:szCs w:val="24"/>
        </w:rPr>
        <w:t xml:space="preserve"> del Sud.</w:t>
      </w:r>
      <w:r w:rsidR="00067975">
        <w:rPr>
          <w:rFonts w:ascii="Times New Roman" w:hAnsi="Times New Roman" w:cs="Times New Roman"/>
          <w:sz w:val="24"/>
          <w:szCs w:val="24"/>
        </w:rPr>
        <w:t xml:space="preserve"> </w:t>
      </w:r>
      <w:r w:rsidR="00483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63" w:rsidRPr="00EE5563" w:rsidRDefault="00EE5563" w:rsidP="00F83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EE5563" w:rsidRPr="00EE55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FF"/>
    <w:rsid w:val="00067975"/>
    <w:rsid w:val="000C018C"/>
    <w:rsid w:val="000C18DC"/>
    <w:rsid w:val="001971E9"/>
    <w:rsid w:val="002C40E1"/>
    <w:rsid w:val="003D1C0D"/>
    <w:rsid w:val="004312A4"/>
    <w:rsid w:val="00483DE3"/>
    <w:rsid w:val="00512DCD"/>
    <w:rsid w:val="00522269"/>
    <w:rsid w:val="005B0F05"/>
    <w:rsid w:val="005E48EC"/>
    <w:rsid w:val="005F1702"/>
    <w:rsid w:val="00601D2F"/>
    <w:rsid w:val="00626002"/>
    <w:rsid w:val="006859BD"/>
    <w:rsid w:val="00686EA5"/>
    <w:rsid w:val="006A59DF"/>
    <w:rsid w:val="0073002C"/>
    <w:rsid w:val="00746B73"/>
    <w:rsid w:val="007C143E"/>
    <w:rsid w:val="007F6852"/>
    <w:rsid w:val="00950684"/>
    <w:rsid w:val="00A77E30"/>
    <w:rsid w:val="00B17BA2"/>
    <w:rsid w:val="00B63F0C"/>
    <w:rsid w:val="00C31B3B"/>
    <w:rsid w:val="00C43F66"/>
    <w:rsid w:val="00C53137"/>
    <w:rsid w:val="00CC33E5"/>
    <w:rsid w:val="00D26642"/>
    <w:rsid w:val="00D51D7C"/>
    <w:rsid w:val="00E11BD1"/>
    <w:rsid w:val="00E23696"/>
    <w:rsid w:val="00E916F0"/>
    <w:rsid w:val="00E94FFF"/>
    <w:rsid w:val="00EE5563"/>
    <w:rsid w:val="00F62A06"/>
    <w:rsid w:val="00F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A749"/>
  <w15:chartTrackingRefBased/>
  <w15:docId w15:val="{FA627CF2-3D69-47B2-ACB7-E8A5A8E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Morelli</dc:creator>
  <cp:keywords/>
  <dc:description/>
  <cp:lastModifiedBy>Alessandro Morelli</cp:lastModifiedBy>
  <cp:revision>32</cp:revision>
  <cp:lastPrinted>2019-02-07T20:08:00Z</cp:lastPrinted>
  <dcterms:created xsi:type="dcterms:W3CDTF">2019-02-07T11:41:00Z</dcterms:created>
  <dcterms:modified xsi:type="dcterms:W3CDTF">2019-02-07T20:26:00Z</dcterms:modified>
</cp:coreProperties>
</file>